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قصّة في مكانة الحرّ الرياحي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«معرفة المعاد»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ينقل المامقانيّ في كتاب «تنقيح المقال» عن الحائريّ، عن السيّد نعمة الله الجزائريّ في كتاب «الأنوار النعمانيّة» قوله: </w:t>
      </w:r>
    </w:p>
    <w:p>
      <w:pPr>
        <w:pStyle w:val="ContentNormal_MS_V1"/>
      </w:pPr>
      <w:r>
        <w:rPr>
          <w:rtl w:val="0"/>
          <w:lang w:val="ar-SA"/>
        </w:rPr>
        <w:t xml:space="preserve">حدّثني جماعة من الثقات أنّ الشاه إسماعيل لمّا ملك بغداد أتى إلى مشهد الحسين عليه‏السلام، ولمّا سمع من بعض الناس الطعن على الحرّ، أتى إلى قبره و أمر بنبشه، فنبشوه فرآه نائماً كهيئته لمّا قُتل، ورأوا على رأسه عصابة مشدودٌ بها رأسه، فأراد الشاه نوّر الله مضجعه أخذ تلك العصابة لما نقل في كتب السير و التواريخ أنّ تلك العصابة هي دسمال الحسين عليه‏ السلام شدّ به رأس الحرّ لمّا أصيب في تلك الواقعة و دُفن على تلك الهيئة، فلمّا حلّوا تلك العصابة جرى الدم حتى امتلأ منه القبر، فلمّا شدّوا عليه تلك العصابة انقطع الدم، فلمّا حلّوها جرى الدم، و كلّما أرادوا أن يعالجوا قطع الدم بغير تلك العصابة لم يمكنهم، فتبيّن لهم حُسن حاله، فأمر فبُني على قبره و عيّنَ له خادماً يخدم قبره.</w:t>
      </w:r>
      <w:r>
        <w:rPr>
          <w:rStyle w:val="FootnoteReference"/>
        </w:rPr>
        <w:footnoteReference w:id="1"/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[ملاحظة: انتخب هذا البحث من </w:t>
      </w:r>
      <w:hyperlink r:id="rId4" w:history="1">
        <w:r>
          <w:rPr>
            <w:rStyle w:val="Hyperlink"/>
          </w:rPr>
          <w:t xml:space="preserve">معرفة المعاد، ج‏٣، ص: ۱٣٤</w:t>
        </w:r>
      </w:hyperlink>
      <w:r>
        <w:rPr>
          <w:rtl w:val="0"/>
          <w:lang w:val="ar-SA"/>
        </w:rPr>
        <w:t xml:space="preserve">، تأليف المرحوم العلاّمة آية اللـه الحاج السيّد محمّد الحسين الحسينيّ الطهرانيّ رضوان اللـه عليه، وقد تمّ توثيقه ومقارنته مع المصدر الفارسي من قبل الهيئة العلميّة في لجنة الترجمة والتحقيق، و تجدر الإشارة إلى أنّ العبارات و الهوامش التي وقعت بين معقوفتين هي من الهيئة العلميّة]</w:t>
      </w:r>
    </w:p>
    <w:sectPr w:rsidSect="00541B26">
      <w:footerReference w:type="default" r:id="rId5"/>
      <w:footerReference w:type="first" r:id="rId6"/>
      <w:footnotePr>
        <w:pos w:val="pageBottom"/>
        <w:numFmt w:val="decimal"/>
        <w:numRestart w:val="eachPage"/>
      </w:footnotePr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99821C1D-64CD-4C73-848F-85AC2C71AE08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532B1BDA-F5B4-4BBC-8C99-1D5EC5DD561A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5" name="_x0000_i001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16" name="_x0000_i0016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spacing w:after="0"/>
        <w:ind w:firstLine="0"/>
        <w:rPr/>
      </w:pPr>
      <w:r>
        <w:separator/>
      </w:r>
    </w:p>
  </w:footnote>
  <w:footnote w:type="continuationSeparator" w:id="0">
    <w:p>
      <w:pPr>
        <w:spacing w:after="0"/>
        <w:ind w:firstLine="0"/>
        <w:rPr/>
      </w:pPr>
      <w:r>
        <w:continuationSeparator/>
      </w:r>
    </w:p>
  </w:footnote>
  <w:footnote w:id="1">
    <w:p>
      <w:pPr>
        <w:pStyle w:val="FNNormal_MS_V1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ar-SA"/>
        </w:rPr>
        <w:t xml:space="preserve"> تنقيح المقال، الطبعة الحجريّة، المجلّد الأول، ص ٢٦۰ و٢٦۱.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notes" Target="footnotes.xml" /><Relationship Id="rId4" Type="http://schemas.openxmlformats.org/officeDocument/2006/relationships/hyperlink" Target="https://madrasatalwahy.org/Document/Book/Details/10024/%D9%85%D8%B9%D8%B1%D9%81%D8%A9-%D8%A7%D9%84%D9%85%D8%B9%D8%A7%D8%AF-%D8%AC3?page=1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